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198CF77F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001FD1F0" w14:textId="67887056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952F07" w:rsidRPr="00952F07">
        <w:rPr>
          <w:rFonts w:ascii="Arial" w:hAnsi="Arial" w:cs="Arial"/>
          <w:b/>
          <w:sz w:val="28"/>
          <w:szCs w:val="28"/>
        </w:rPr>
        <w:t>II/399 Náměšť nad Os</w:t>
      </w:r>
      <w:r w:rsidR="00952F07">
        <w:rPr>
          <w:rFonts w:ascii="Arial" w:hAnsi="Arial" w:cs="Arial"/>
          <w:b/>
          <w:sz w:val="28"/>
          <w:szCs w:val="28"/>
        </w:rPr>
        <w:t>lavou – D1, Jinošov obchvat,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5B686EA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</w:t>
      </w:r>
      <w:r w:rsidR="001F6EB4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1F6EB4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3E5B5B38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51C75161" w14:textId="1D6B0FEA" w:rsidR="00952F07" w:rsidRDefault="00952F07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56E1C">
        <w:rPr>
          <w:rFonts w:ascii="Arial" w:eastAsia="MS Mincho" w:hAnsi="Arial" w:cs="Arial"/>
          <w:sz w:val="22"/>
          <w:szCs w:val="22"/>
        </w:rPr>
        <w:t>k podpisu smlouvy pověřen:</w:t>
      </w:r>
      <w:r w:rsidRPr="00556E1C">
        <w:rPr>
          <w:rFonts w:ascii="Arial" w:eastAsia="MS Mincho" w:hAnsi="Arial" w:cs="Arial"/>
          <w:sz w:val="22"/>
          <w:szCs w:val="22"/>
        </w:rPr>
        <w:tab/>
      </w:r>
      <w:proofErr w:type="spellStart"/>
      <w:proofErr w:type="gramStart"/>
      <w:r w:rsidRPr="00556E1C">
        <w:rPr>
          <w:rFonts w:ascii="Arial" w:eastAsia="MS Mincho" w:hAnsi="Arial" w:cs="Arial"/>
          <w:sz w:val="22"/>
          <w:szCs w:val="22"/>
        </w:rPr>
        <w:t>Ing.Miroslav</w:t>
      </w:r>
      <w:proofErr w:type="spellEnd"/>
      <w:proofErr w:type="gramEnd"/>
      <w:r w:rsidRPr="00556E1C">
        <w:rPr>
          <w:rFonts w:ascii="Arial" w:eastAsia="MS Mincho" w:hAnsi="Arial" w:cs="Arial"/>
          <w:sz w:val="22"/>
          <w:szCs w:val="22"/>
        </w:rPr>
        <w:t xml:space="preserve"> Houška – náměstek hejtmana</w:t>
      </w:r>
    </w:p>
    <w:p w14:paraId="632697AD" w14:textId="2097E963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952F07">
        <w:rPr>
          <w:rFonts w:ascii="Arial" w:eastAsia="MS Mincho" w:hAnsi="Arial" w:cs="Arial"/>
          <w:sz w:val="22"/>
          <w:szCs w:val="22"/>
        </w:rPr>
        <w:t>Karel Liška</w:t>
      </w:r>
    </w:p>
    <w:p w14:paraId="5A95A9DA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AA20083" w14:textId="5E9E89CE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F6EB4" w:rsidRPr="001F6EB4">
        <w:rPr>
          <w:rFonts w:ascii="Arial" w:hAnsi="Arial" w:cs="Arial"/>
          <w:sz w:val="22"/>
          <w:szCs w:val="22"/>
        </w:rPr>
        <w:t>4 5000 5000/6800</w:t>
      </w:r>
    </w:p>
    <w:p w14:paraId="73FA8624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201C42C0" w14:textId="77777777" w:rsidR="00C4146A" w:rsidRDefault="00C4146A" w:rsidP="009445AB">
      <w:pPr>
        <w:spacing w:before="360" w:after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0C7671F1" w:rsidR="0059463F" w:rsidRDefault="0059463F" w:rsidP="00952F07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952F07" w:rsidRPr="00952F07">
        <w:rPr>
          <w:rFonts w:ascii="Arial" w:hAnsi="Arial" w:cs="Arial"/>
          <w:b/>
          <w:bCs/>
          <w:sz w:val="22"/>
          <w:szCs w:val="22"/>
        </w:rPr>
        <w:t>II/399 Náměšť nad Oslavou – D1, Jinošov obchvat, PD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A60F70C" w14:textId="713C4652" w:rsidR="00F64DB3" w:rsidRPr="00E95278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362D99">
        <w:rPr>
          <w:rFonts w:ascii="Arial" w:hAnsi="Arial" w:cs="Arial"/>
          <w:sz w:val="22"/>
          <w:szCs w:val="22"/>
        </w:rPr>
        <w:t xml:space="preserve">projektové dokumentace </w:t>
      </w:r>
      <w:r w:rsidR="00553281" w:rsidRPr="0035398E">
        <w:rPr>
          <w:rFonts w:ascii="Arial" w:hAnsi="Arial" w:cs="Arial"/>
          <w:sz w:val="22"/>
          <w:szCs w:val="22"/>
        </w:rPr>
        <w:t xml:space="preserve">ve stupni dokumentace </w:t>
      </w:r>
      <w:r w:rsidR="00553281" w:rsidRPr="00706590">
        <w:rPr>
          <w:rFonts w:ascii="Arial" w:hAnsi="Arial" w:cs="Arial"/>
          <w:sz w:val="22"/>
          <w:szCs w:val="22"/>
        </w:rPr>
        <w:t xml:space="preserve">pro </w:t>
      </w:r>
      <w:r w:rsidR="00553281" w:rsidRPr="00A46D36">
        <w:rPr>
          <w:rFonts w:ascii="Arial" w:hAnsi="Arial" w:cs="Arial"/>
          <w:sz w:val="22"/>
          <w:szCs w:val="22"/>
        </w:rPr>
        <w:t xml:space="preserve">vydání územního rozhodnutí (dále </w:t>
      </w:r>
      <w:r w:rsidR="00DF770D">
        <w:rPr>
          <w:rFonts w:ascii="Arial" w:hAnsi="Arial" w:cs="Arial"/>
          <w:sz w:val="22"/>
          <w:szCs w:val="22"/>
        </w:rPr>
        <w:t>též</w:t>
      </w:r>
      <w:r w:rsidR="00553281" w:rsidRPr="00A46D36">
        <w:rPr>
          <w:rFonts w:ascii="Arial" w:hAnsi="Arial" w:cs="Arial"/>
          <w:sz w:val="22"/>
          <w:szCs w:val="22"/>
        </w:rPr>
        <w:t xml:space="preserve"> „DÚR“) včetně zajištění pravomocného územního rozhodnutí</w:t>
      </w:r>
      <w:r w:rsidR="00DF770D">
        <w:rPr>
          <w:rFonts w:ascii="Arial" w:hAnsi="Arial" w:cs="Arial"/>
          <w:sz w:val="22"/>
          <w:szCs w:val="22"/>
        </w:rPr>
        <w:t>,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</w:t>
      </w:r>
      <w:r w:rsidR="00255931">
        <w:rPr>
          <w:rFonts w:ascii="Arial" w:hAnsi="Arial" w:cs="Arial"/>
          <w:sz w:val="22"/>
          <w:szCs w:val="22"/>
        </w:rPr>
        <w:t>provádění stavby (dále 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E95278" w:rsidRPr="00E95278">
        <w:rPr>
          <w:rFonts w:ascii="Arial" w:hAnsi="Arial" w:cs="Arial"/>
          <w:sz w:val="22"/>
          <w:szCs w:val="22"/>
        </w:rPr>
        <w:t>„</w:t>
      </w:r>
      <w:r w:rsidR="00952F07" w:rsidRPr="00952F07">
        <w:rPr>
          <w:rFonts w:ascii="Arial" w:hAnsi="Arial" w:cs="Arial"/>
          <w:sz w:val="22"/>
          <w:szCs w:val="22"/>
        </w:rPr>
        <w:t>II//399 Náměšť nad Oslavou – D1, Jinošov obchvat</w:t>
      </w:r>
      <w:r w:rsidR="00F64DB3" w:rsidRPr="00E95278">
        <w:rPr>
          <w:rFonts w:ascii="Arial" w:hAnsi="Arial" w:cs="Arial"/>
          <w:sz w:val="22"/>
          <w:szCs w:val="22"/>
        </w:rPr>
        <w:t xml:space="preserve">“. </w:t>
      </w:r>
    </w:p>
    <w:p w14:paraId="74F2939F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1826A0CA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2783B1EE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3918EF71" w14:textId="6139EEF4" w:rsidR="00952F07" w:rsidRDefault="00952F07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952F07">
        <w:rPr>
          <w:rFonts w:ascii="Arial" w:hAnsi="Arial"/>
          <w:sz w:val="22"/>
        </w:rPr>
        <w:t xml:space="preserve">Projektová dokumentace bude vypracována v návaznosti a v souladu se závěry </w:t>
      </w:r>
      <w:r w:rsidR="00556E1C">
        <w:rPr>
          <w:rFonts w:ascii="Arial" w:hAnsi="Arial"/>
          <w:sz w:val="22"/>
        </w:rPr>
        <w:t xml:space="preserve">projektové dokumentace ve stupni </w:t>
      </w:r>
      <w:r w:rsidR="000D7C99">
        <w:rPr>
          <w:rFonts w:ascii="Arial" w:hAnsi="Arial"/>
          <w:sz w:val="22"/>
        </w:rPr>
        <w:t>technické studie</w:t>
      </w:r>
      <w:r w:rsidRPr="00952F07">
        <w:rPr>
          <w:rFonts w:ascii="Arial" w:hAnsi="Arial"/>
          <w:sz w:val="22"/>
        </w:rPr>
        <w:t xml:space="preserve"> „II/399 Náměšť nad Oslavou – D1, Jinošov obchvat, technická studie“ zpracované v 02/2019 </w:t>
      </w:r>
      <w:r w:rsidR="000D7C99">
        <w:rPr>
          <w:rFonts w:ascii="Arial" w:hAnsi="Arial"/>
          <w:sz w:val="22"/>
        </w:rPr>
        <w:t>společností</w:t>
      </w:r>
      <w:r w:rsidRPr="00952F07">
        <w:rPr>
          <w:rFonts w:ascii="Arial" w:hAnsi="Arial"/>
          <w:sz w:val="22"/>
        </w:rPr>
        <w:t xml:space="preserve"> </w:t>
      </w:r>
      <w:proofErr w:type="spellStart"/>
      <w:r w:rsidRPr="00952F07">
        <w:rPr>
          <w:rFonts w:ascii="Arial" w:hAnsi="Arial"/>
          <w:sz w:val="22"/>
        </w:rPr>
        <w:t>Sweco</w:t>
      </w:r>
      <w:proofErr w:type="spellEnd"/>
      <w:r w:rsidRPr="00952F07">
        <w:rPr>
          <w:rFonts w:ascii="Arial" w:hAnsi="Arial"/>
          <w:sz w:val="22"/>
        </w:rPr>
        <w:t xml:space="preserve"> </w:t>
      </w:r>
      <w:proofErr w:type="spellStart"/>
      <w:r w:rsidRPr="00952F07">
        <w:rPr>
          <w:rFonts w:ascii="Arial" w:hAnsi="Arial"/>
          <w:sz w:val="22"/>
        </w:rPr>
        <w:t>Hydroprojekt</w:t>
      </w:r>
      <w:proofErr w:type="spellEnd"/>
      <w:r w:rsidRPr="00952F07">
        <w:rPr>
          <w:rFonts w:ascii="Arial" w:hAnsi="Arial"/>
          <w:sz w:val="22"/>
        </w:rPr>
        <w:t xml:space="preserve"> a.s., Táborská 31, 140 16 Praha 4, </w:t>
      </w:r>
      <w:r w:rsidR="000D7C99" w:rsidRPr="000D7C99">
        <w:rPr>
          <w:rFonts w:ascii="Arial" w:hAnsi="Arial"/>
          <w:sz w:val="22"/>
        </w:rPr>
        <w:t>IČO 26475081</w:t>
      </w:r>
      <w:r w:rsidR="000D7C99">
        <w:rPr>
          <w:rFonts w:ascii="Arial" w:hAnsi="Arial"/>
          <w:sz w:val="22"/>
        </w:rPr>
        <w:t xml:space="preserve">, </w:t>
      </w:r>
      <w:r w:rsidRPr="00952F07">
        <w:rPr>
          <w:rFonts w:ascii="Arial" w:hAnsi="Arial"/>
          <w:sz w:val="22"/>
        </w:rPr>
        <w:t xml:space="preserve">zejména s </w:t>
      </w:r>
      <w:proofErr w:type="gramStart"/>
      <w:r w:rsidRPr="00952F07">
        <w:rPr>
          <w:rFonts w:ascii="Arial" w:hAnsi="Arial"/>
          <w:sz w:val="22"/>
        </w:rPr>
        <w:t>částí B.5 Koncepční</w:t>
      </w:r>
      <w:proofErr w:type="gramEnd"/>
      <w:r w:rsidRPr="00952F07">
        <w:rPr>
          <w:rFonts w:ascii="Arial" w:hAnsi="Arial"/>
          <w:sz w:val="22"/>
        </w:rPr>
        <w:t xml:space="preserve"> řešení obchvatu obce Jinošov.</w:t>
      </w:r>
    </w:p>
    <w:p w14:paraId="7CED9974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24F58C" w14:textId="3A07D285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592402CB" w14:textId="522DEB46" w:rsidR="007E1AEB" w:rsidRDefault="007E1AEB" w:rsidP="007E1AEB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szCs w:val="22"/>
        </w:rPr>
        <w:t xml:space="preserve">Projektová dokumentace bude zpracována v rozsahu </w:t>
      </w:r>
      <w:r w:rsidRPr="000B3365">
        <w:rPr>
          <w:szCs w:val="22"/>
        </w:rPr>
        <w:t>vyhlášky č. 146/2008 Sb., o rozsahu a obsahu projektové dokumentace dopravních staveb</w:t>
      </w:r>
      <w:r>
        <w:rPr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szCs w:val="22"/>
        </w:rPr>
        <w:t>(stavební zákon)</w:t>
      </w:r>
      <w:r>
        <w:rPr>
          <w:szCs w:val="22"/>
        </w:rPr>
        <w:t>, ve znění pozdějších předpisů,</w:t>
      </w:r>
      <w:r w:rsidRPr="000B3365">
        <w:rPr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szCs w:val="22"/>
        </w:rPr>
        <w:t>ve znění pozdějších předpisů, ve smyslu zákona č. 134/2016 Sb., o zadávání veřejných zakázek, ve znění pozdějších předpisů.</w:t>
      </w:r>
    </w:p>
    <w:p w14:paraId="1EECD6C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218322D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4992FB" w14:textId="246F6646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 DÚR</w:t>
      </w:r>
    </w:p>
    <w:p w14:paraId="22988E97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1A2F485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738B7EF6" w14:textId="375A777E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průzkum,</w:t>
      </w:r>
    </w:p>
    <w:p w14:paraId="49928BBE" w14:textId="4238E5A2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BCE5EBB" w14:textId="0598418A" w:rsidR="000F347A" w:rsidRDefault="000F347A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hydrotechnické posouzení území</w:t>
      </w:r>
    </w:p>
    <w:p w14:paraId="4AEC39FA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379080E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14:paraId="3536F1EE" w14:textId="551333D2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3D43A2">
        <w:rPr>
          <w:rFonts w:ascii="Arial" w:hAnsi="Arial" w:cs="Arial"/>
          <w:bCs/>
          <w:sz w:val="22"/>
          <w:szCs w:val="22"/>
        </w:rPr>
        <w:t>řešení obchvatu v kategorii</w:t>
      </w:r>
      <w:r w:rsidR="002010A3">
        <w:rPr>
          <w:rFonts w:ascii="Arial" w:hAnsi="Arial" w:cs="Arial"/>
          <w:bCs/>
          <w:sz w:val="22"/>
          <w:szCs w:val="22"/>
        </w:rPr>
        <w:t xml:space="preserve"> </w:t>
      </w:r>
      <w:r w:rsidRPr="00160306">
        <w:rPr>
          <w:rFonts w:ascii="Arial" w:hAnsi="Arial" w:cs="Arial"/>
          <w:bCs/>
          <w:sz w:val="22"/>
          <w:szCs w:val="22"/>
        </w:rPr>
        <w:t>v S 7,5</w:t>
      </w:r>
      <w:r w:rsidR="007E1AEB">
        <w:rPr>
          <w:rFonts w:ascii="Arial" w:hAnsi="Arial" w:cs="Arial"/>
          <w:bCs/>
          <w:sz w:val="22"/>
          <w:szCs w:val="22"/>
        </w:rPr>
        <w:t>/90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17EC0012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53CB6663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3D23D87B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</w:p>
    <w:p w14:paraId="2334AB78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231268CF" w14:textId="686F84FA" w:rsidR="00BF4BA2" w:rsidRPr="00852F4F" w:rsidRDefault="00BF4BA2" w:rsidP="00852F4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144BA53E" w14:textId="2A0823C2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edologický průzkum</w:t>
      </w:r>
      <w:r>
        <w:rPr>
          <w:rFonts w:ascii="Arial" w:hAnsi="Arial" w:cs="Arial"/>
          <w:bCs/>
          <w:sz w:val="22"/>
          <w:szCs w:val="22"/>
        </w:rPr>
        <w:t>,</w:t>
      </w:r>
    </w:p>
    <w:p w14:paraId="350EFF69" w14:textId="4C720ED4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</w:p>
    <w:p w14:paraId="1B69285A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2C3DC9EE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59788301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14:paraId="552E7484" w14:textId="35122A13" w:rsidR="00BF4BA2" w:rsidRDefault="00BF4BA2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4E4D80C" w14:textId="4BB8732A" w:rsidR="009445AB" w:rsidRDefault="009445AB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E26EA4C" w14:textId="77777777" w:rsidR="009445AB" w:rsidRPr="0036726E" w:rsidRDefault="009445AB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38C125" w14:textId="36EF3916" w:rsidR="00BF4BA2" w:rsidRPr="002D69EC" w:rsidRDefault="004D41EF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DÚR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29A543FF" w14:textId="1A43326C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42E4D8D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3F61F1BD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2B83BF7F" w14:textId="1C817F5D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D41EF">
        <w:rPr>
          <w:rFonts w:ascii="Arial" w:hAnsi="Arial" w:cs="Arial"/>
          <w:bCs/>
          <w:sz w:val="22"/>
          <w:szCs w:val="22"/>
        </w:rPr>
        <w:t>územního rozhodnutí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14:paraId="78562AD3" w14:textId="77777777" w:rsidR="00BF4BA2" w:rsidRPr="00CF39E1" w:rsidRDefault="00BF4BA2" w:rsidP="00BF4BA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1CB5C9A1" w14:textId="77777777" w:rsidR="00BF4BA2" w:rsidRPr="002D69EC" w:rsidRDefault="00BF4BA2" w:rsidP="00BF4BA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0504EB66" w14:textId="6A9EE07F" w:rsidR="00BF4BA2" w:rsidRDefault="00BF4BA2" w:rsidP="004D41EF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2010A3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2010A3">
        <w:rPr>
          <w:rFonts w:ascii="Arial" w:hAnsi="Arial" w:cs="Arial"/>
          <w:bCs/>
          <w:sz w:val="22"/>
          <w:szCs w:val="22"/>
        </w:rPr>
        <w:t>DÚR</w:t>
      </w:r>
      <w:r w:rsidRPr="002010A3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 Listinn</w:t>
      </w:r>
      <w:r w:rsidR="004D41EF" w:rsidRPr="002010A3">
        <w:rPr>
          <w:rFonts w:ascii="Arial" w:hAnsi="Arial" w:cs="Arial"/>
          <w:bCs/>
          <w:sz w:val="22"/>
          <w:szCs w:val="22"/>
        </w:rPr>
        <w:t>á</w:t>
      </w:r>
      <w:r w:rsidRPr="002010A3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2010A3">
        <w:rPr>
          <w:rFonts w:ascii="Arial" w:hAnsi="Arial" w:cs="Arial"/>
          <w:bCs/>
          <w:sz w:val="22"/>
          <w:szCs w:val="22"/>
        </w:rPr>
        <w:t>DÚR</w:t>
      </w:r>
      <w:r w:rsidRPr="002010A3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6C174F76" w14:textId="08D0F2AD" w:rsidR="009648E1" w:rsidRDefault="009648E1" w:rsidP="004D41EF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2FA91E4" w14:textId="77777777" w:rsidR="00556E1C" w:rsidRDefault="00556E1C" w:rsidP="004D41EF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23407887" w14:textId="7F44D6E6" w:rsidR="009648E1" w:rsidRPr="009648E1" w:rsidRDefault="009648E1" w:rsidP="009648E1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V</w:t>
      </w:r>
      <w:r w:rsidRPr="008F28F4"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ypracování Oznámení záměru podle § 6 zákona č. 100/2001 Sb., o posuzování vlivu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E63A3E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>na životní prostře</w:t>
      </w:r>
      <w:r w:rsidRPr="00891141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 xml:space="preserve">dí </w:t>
      </w:r>
      <w:r w:rsidRPr="00E63A3E">
        <w:rPr>
          <w:rFonts w:ascii="Arial" w:hAnsi="Arial" w:cs="Arial"/>
          <w:spacing w:val="-2"/>
          <w:sz w:val="22"/>
          <w:szCs w:val="22"/>
        </w:rPr>
        <w:t>v platném znění</w:t>
      </w:r>
      <w:r>
        <w:rPr>
          <w:rFonts w:ascii="Arial" w:hAnsi="Arial" w:cs="Arial"/>
          <w:spacing w:val="-2"/>
          <w:sz w:val="22"/>
          <w:szCs w:val="22"/>
        </w:rPr>
        <w:t>,</w:t>
      </w:r>
      <w:r w:rsidRPr="00E63A3E">
        <w:rPr>
          <w:rFonts w:ascii="Arial" w:hAnsi="Arial" w:cs="Arial"/>
          <w:spacing w:val="-2"/>
          <w:sz w:val="22"/>
          <w:szCs w:val="22"/>
        </w:rPr>
        <w:t xml:space="preserve"> stavby „</w:t>
      </w:r>
      <w:r w:rsidRPr="00DB5A2D">
        <w:rPr>
          <w:rFonts w:ascii="Arial" w:hAnsi="Arial" w:cs="Arial"/>
          <w:spacing w:val="-2"/>
          <w:sz w:val="22"/>
          <w:szCs w:val="22"/>
        </w:rPr>
        <w:t>II/399 Náměšť nad Oslavou – D1, Jinošov obchvat</w:t>
      </w:r>
      <w:r w:rsidRPr="00E63A3E">
        <w:rPr>
          <w:rFonts w:ascii="Arial" w:hAnsi="Arial" w:cs="Arial"/>
          <w:spacing w:val="-2"/>
          <w:sz w:val="22"/>
          <w:szCs w:val="22"/>
        </w:rPr>
        <w:t>“ zpracované podle přílohy č. 3.</w:t>
      </w:r>
      <w:r w:rsidRPr="002D69EC">
        <w:rPr>
          <w:rFonts w:ascii="Arial" w:hAnsi="Arial" w:cs="Arial"/>
          <w:sz w:val="22"/>
          <w:szCs w:val="22"/>
        </w:rPr>
        <w:t xml:space="preserve"> Oznámení záměru bude předáno v písemné podobě v počtu požadovaném </w:t>
      </w:r>
      <w:proofErr w:type="spellStart"/>
      <w:r w:rsidRPr="002D69EC">
        <w:rPr>
          <w:rFonts w:ascii="Arial" w:hAnsi="Arial" w:cs="Arial"/>
          <w:sz w:val="22"/>
          <w:szCs w:val="22"/>
        </w:rPr>
        <w:t>KrÚ</w:t>
      </w:r>
      <w:proofErr w:type="spellEnd"/>
      <w:r w:rsidRPr="002D69EC">
        <w:rPr>
          <w:rFonts w:ascii="Arial" w:hAnsi="Arial" w:cs="Arial"/>
          <w:sz w:val="22"/>
          <w:szCs w:val="22"/>
        </w:rPr>
        <w:t xml:space="preserve"> Kraje Vysočina, odbor ŽP a 1x v digitální podobě na CD. Předmětem plnění je rovněž zajištění vydání Závěru zjišťovacího řízení odborem životního prostředí Krajského úřadu Kraje Vysočina.</w:t>
      </w:r>
    </w:p>
    <w:p w14:paraId="28C76D97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5C402EA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B0824E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4D83C61F" w14:textId="4F18B8CF" w:rsidR="00BF4BA2" w:rsidRPr="003D43A2" w:rsidRDefault="00BF4BA2" w:rsidP="00352EE9">
      <w:pPr>
        <w:tabs>
          <w:tab w:val="left" w:pos="426"/>
        </w:tabs>
        <w:jc w:val="both"/>
        <w:rPr>
          <w:rFonts w:ascii="Arial" w:hAnsi="Arial" w:cs="Arial"/>
          <w:i/>
          <w:color w:val="FF0000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</w:t>
      </w:r>
      <w:r w:rsidRPr="009A4B32">
        <w:rPr>
          <w:rFonts w:ascii="Arial" w:hAnsi="Arial" w:cs="Arial"/>
          <w:sz w:val="22"/>
          <w:szCs w:val="22"/>
        </w:rPr>
        <w:t>případné úhrady správního poplatku</w:t>
      </w:r>
      <w:r w:rsidRPr="00352EE9">
        <w:rPr>
          <w:rFonts w:ascii="Arial" w:hAnsi="Arial" w:cs="Arial"/>
          <w:sz w:val="22"/>
          <w:szCs w:val="22"/>
        </w:rPr>
        <w:t xml:space="preserve">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  <w:r w:rsidR="0063756D" w:rsidRPr="00E042C3">
        <w:rPr>
          <w:rFonts w:ascii="Arial" w:hAnsi="Arial" w:cs="Arial"/>
          <w:sz w:val="22"/>
          <w:szCs w:val="22"/>
        </w:rPr>
        <w:t xml:space="preserve">Zhotovitel </w:t>
      </w:r>
      <w:r w:rsidR="005535C4">
        <w:rPr>
          <w:rFonts w:ascii="Arial" w:hAnsi="Arial" w:cs="Arial"/>
          <w:sz w:val="22"/>
          <w:szCs w:val="22"/>
        </w:rPr>
        <w:t xml:space="preserve">prokazatelně seznámí </w:t>
      </w:r>
      <w:r w:rsidR="0063756D" w:rsidRPr="00E042C3">
        <w:rPr>
          <w:rFonts w:ascii="Arial" w:hAnsi="Arial" w:cs="Arial"/>
          <w:sz w:val="22"/>
          <w:szCs w:val="22"/>
        </w:rPr>
        <w:t>vlastník</w:t>
      </w:r>
      <w:r w:rsidR="005535C4">
        <w:rPr>
          <w:rFonts w:ascii="Arial" w:hAnsi="Arial" w:cs="Arial"/>
          <w:sz w:val="22"/>
          <w:szCs w:val="22"/>
        </w:rPr>
        <w:t>y</w:t>
      </w:r>
      <w:r w:rsidR="0063756D" w:rsidRPr="00E042C3">
        <w:rPr>
          <w:rFonts w:ascii="Arial" w:hAnsi="Arial" w:cs="Arial"/>
          <w:sz w:val="22"/>
          <w:szCs w:val="22"/>
        </w:rPr>
        <w:t xml:space="preserve"> pozemků</w:t>
      </w:r>
      <w:r w:rsidR="005535C4">
        <w:rPr>
          <w:rFonts w:ascii="Arial" w:hAnsi="Arial" w:cs="Arial"/>
          <w:sz w:val="22"/>
          <w:szCs w:val="22"/>
        </w:rPr>
        <w:t xml:space="preserve"> s tím, že stavba proběhne v souladu s § 184a </w:t>
      </w:r>
      <w:r w:rsidR="005535C4" w:rsidRPr="005535C4">
        <w:rPr>
          <w:rFonts w:ascii="Arial" w:hAnsi="Arial" w:cs="Arial"/>
          <w:sz w:val="22"/>
          <w:szCs w:val="22"/>
        </w:rPr>
        <w:t>zákona č. 183/2006 Sb., o územním plánování a stavebním řádu (stavební zákon), ve znění pozdějších předpisů</w:t>
      </w:r>
      <w:r w:rsidR="005535C4">
        <w:rPr>
          <w:rFonts w:ascii="Arial" w:hAnsi="Arial" w:cs="Arial"/>
          <w:sz w:val="22"/>
          <w:szCs w:val="22"/>
        </w:rPr>
        <w:t>.</w:t>
      </w:r>
    </w:p>
    <w:p w14:paraId="535480A8" w14:textId="67E89DED" w:rsidR="00BF4BA2" w:rsidRDefault="00BF4BA2" w:rsidP="00352EE9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61FF6A02" w14:textId="0C02870A" w:rsidR="00352EE9" w:rsidRDefault="00352EE9" w:rsidP="00352EE9">
      <w:pPr>
        <w:jc w:val="both"/>
        <w:rPr>
          <w:rFonts w:ascii="Arial" w:hAnsi="Arial" w:cs="Arial"/>
          <w:sz w:val="22"/>
          <w:szCs w:val="22"/>
        </w:rPr>
      </w:pPr>
    </w:p>
    <w:p w14:paraId="4C56A310" w14:textId="77777777" w:rsidR="00352EE9" w:rsidRDefault="00352EE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14:paraId="6BD88E5C" w14:textId="083CB4C9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BF02843" w14:textId="77777777" w:rsidR="00556E1C" w:rsidRDefault="00556E1C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DDA5DC0" w14:textId="0BF8237C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DSP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6D4B722D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121F861" w14:textId="046B1DB3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3D43A2">
        <w:rPr>
          <w:rFonts w:ascii="Arial" w:hAnsi="Arial" w:cs="Arial"/>
          <w:bCs/>
          <w:sz w:val="22"/>
          <w:szCs w:val="22"/>
        </w:rPr>
        <w:t xml:space="preserve">řešení obchvatu 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3F42A244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A57F360" w14:textId="77777777"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1B20A090" w14:textId="77777777"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DBC835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4085276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E50643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4D225D2A" w14:textId="77777777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3A5CE867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194C9096" w14:textId="77777777"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95383D0" w14:textId="77777777"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3E0E142" w14:textId="2A51375D" w:rsidR="00DC17CE" w:rsidRPr="009445AB" w:rsidRDefault="005F166B" w:rsidP="005F166B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752E8CF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15E2164E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E6184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46FBAC1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74E63D9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5597C0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16374CF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036813F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825C13F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7354C5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287DCF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5134A993" w14:textId="020F2FD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="00B40C89" w:rsidRPr="009A4B32">
        <w:rPr>
          <w:rFonts w:ascii="Arial" w:hAnsi="Arial" w:cs="Arial"/>
          <w:spacing w:val="-4"/>
          <w:sz w:val="22"/>
          <w:szCs w:val="22"/>
        </w:rPr>
        <w:t xml:space="preserve">případné úhrady </w:t>
      </w:r>
      <w:r w:rsidRPr="009A4B32">
        <w:rPr>
          <w:rFonts w:ascii="Arial" w:hAnsi="Arial" w:cs="Arial"/>
          <w:spacing w:val="-4"/>
          <w:sz w:val="22"/>
          <w:szCs w:val="22"/>
        </w:rPr>
        <w:t>správních</w:t>
      </w:r>
      <w:r w:rsidRPr="009A4B32">
        <w:rPr>
          <w:rFonts w:ascii="Arial" w:hAnsi="Arial" w:cs="Arial"/>
          <w:sz w:val="22"/>
          <w:szCs w:val="22"/>
        </w:rPr>
        <w:t xml:space="preserve"> poplatků</w:t>
      </w:r>
      <w:r>
        <w:rPr>
          <w:rFonts w:ascii="Arial" w:hAnsi="Arial" w:cs="Arial"/>
          <w:sz w:val="22"/>
          <w:szCs w:val="22"/>
        </w:rPr>
        <w:t xml:space="preserve">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C5A4EE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99775F5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9504F4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5EE1E21A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PDPS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3E19D1F0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0E282BED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72DDABDD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Výkon 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AD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</w:t>
      </w:r>
      <w:r w:rsidR="00FE09D7">
        <w:rPr>
          <w:rFonts w:ascii="Arial" w:hAnsi="Arial" w:cs="Arial"/>
          <w:sz w:val="22"/>
          <w:szCs w:val="22"/>
          <w:lang w:eastAsia="ar-SA"/>
        </w:rPr>
        <w:lastRenderedPageBreak/>
        <w:t>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33E9839B" w:rsidR="00215613" w:rsidRPr="009445AB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 w:rsidRPr="009445AB">
        <w:rPr>
          <w:rFonts w:ascii="Arial" w:hAnsi="Arial" w:cs="Arial"/>
          <w:sz w:val="22"/>
          <w:szCs w:val="22"/>
        </w:rPr>
        <w:t>30</w:t>
      </w:r>
      <w:r w:rsidR="00EB1D6F" w:rsidRPr="009445AB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9445AB">
        <w:rPr>
          <w:rFonts w:ascii="Arial" w:hAnsi="Arial" w:cs="Arial"/>
          <w:sz w:val="22"/>
          <w:szCs w:val="22"/>
        </w:rPr>
        <w:t xml:space="preserve"> AD </w:t>
      </w:r>
      <w:r w:rsidR="00C87BC5" w:rsidRPr="009445AB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9445AB">
        <w:rPr>
          <w:rFonts w:ascii="Arial" w:hAnsi="Arial" w:cs="Arial"/>
          <w:spacing w:val="6"/>
          <w:sz w:val="22"/>
          <w:szCs w:val="22"/>
        </w:rPr>
        <w:t xml:space="preserve">stavebních objektů </w:t>
      </w:r>
      <w:r w:rsidR="00215613" w:rsidRPr="009445AB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9445AB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9445AB">
        <w:rPr>
          <w:rFonts w:ascii="Arial" w:hAnsi="Arial" w:cs="Arial"/>
          <w:spacing w:val="6"/>
          <w:sz w:val="22"/>
          <w:szCs w:val="22"/>
        </w:rPr>
        <w:t xml:space="preserve"> </w:t>
      </w:r>
      <w:r w:rsidR="00521B67" w:rsidRPr="009445AB">
        <w:rPr>
          <w:rFonts w:ascii="Arial" w:hAnsi="Arial" w:cs="Arial"/>
          <w:spacing w:val="6"/>
          <w:sz w:val="22"/>
          <w:szCs w:val="22"/>
        </w:rPr>
        <w:t>4</w:t>
      </w:r>
      <w:r w:rsidR="00215613" w:rsidRPr="009445AB">
        <w:rPr>
          <w:rFonts w:ascii="Arial" w:hAnsi="Arial" w:cs="Arial"/>
          <w:spacing w:val="6"/>
          <w:sz w:val="22"/>
          <w:szCs w:val="22"/>
        </w:rPr>
        <w:t xml:space="preserve"> hod</w:t>
      </w:r>
      <w:r w:rsidR="00521B67" w:rsidRPr="009445AB">
        <w:rPr>
          <w:rFonts w:ascii="Arial" w:hAnsi="Arial" w:cs="Arial"/>
          <w:spacing w:val="6"/>
          <w:sz w:val="22"/>
          <w:szCs w:val="22"/>
        </w:rPr>
        <w:t xml:space="preserve"> a 80 hodin </w:t>
      </w:r>
      <w:r w:rsidR="00521B67" w:rsidRPr="009445AB">
        <w:rPr>
          <w:rFonts w:ascii="Arial" w:hAnsi="Arial" w:cs="Arial"/>
          <w:sz w:val="22"/>
          <w:szCs w:val="22"/>
        </w:rPr>
        <w:t>technické pomoci/kancelářské práce</w:t>
      </w:r>
      <w:r w:rsidR="00C87BC5" w:rsidRPr="009445AB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34C84982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2764F9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34B25EF5" w14:textId="77777777" w:rsidR="00C4146A" w:rsidRDefault="00C4146A" w:rsidP="009445AB">
      <w:pPr>
        <w:pStyle w:val="Zkladntextodsazen"/>
        <w:spacing w:before="360" w:after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53619558" w14:textId="68F3D070" w:rsidR="001541CD" w:rsidRPr="00D225BD" w:rsidRDefault="001541CD" w:rsidP="00556E1C">
      <w:pPr>
        <w:tabs>
          <w:tab w:val="left" w:pos="6946"/>
        </w:tabs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>Zahájení:</w:t>
      </w:r>
      <w:r w:rsidRPr="00D225BD">
        <w:rPr>
          <w:rFonts w:ascii="Arial" w:hAnsi="Arial" w:cs="Arial"/>
          <w:sz w:val="22"/>
          <w:szCs w:val="22"/>
        </w:rPr>
        <w:tab/>
        <w:t>po</w:t>
      </w:r>
      <w:r w:rsidR="00556E1C">
        <w:rPr>
          <w:rFonts w:ascii="Arial" w:hAnsi="Arial" w:cs="Arial"/>
          <w:sz w:val="22"/>
          <w:szCs w:val="22"/>
        </w:rPr>
        <w:t xml:space="preserve"> podpisu </w:t>
      </w:r>
      <w:r w:rsidRPr="00D225BD">
        <w:rPr>
          <w:rFonts w:ascii="Arial" w:hAnsi="Arial" w:cs="Arial"/>
          <w:sz w:val="22"/>
          <w:szCs w:val="22"/>
        </w:rPr>
        <w:t>smlouvy</w:t>
      </w:r>
      <w:r w:rsidR="00556E1C">
        <w:rPr>
          <w:rFonts w:ascii="Arial" w:hAnsi="Arial" w:cs="Arial"/>
          <w:sz w:val="22"/>
          <w:szCs w:val="22"/>
        </w:rPr>
        <w:t xml:space="preserve"> </w:t>
      </w:r>
    </w:p>
    <w:p w14:paraId="61AB3AC4" w14:textId="77777777" w:rsidR="001541CD" w:rsidRPr="00D225BD" w:rsidRDefault="001541CD" w:rsidP="001541CD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14:paraId="00FA5D54" w14:textId="77777777" w:rsidR="001541CD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podkladů pro DÚR (zaměření a geotechnický průzkum)</w:t>
      </w:r>
      <w:r>
        <w:rPr>
          <w:rFonts w:ascii="Arial" w:hAnsi="Arial" w:cs="Arial"/>
          <w:sz w:val="22"/>
          <w:szCs w:val="22"/>
        </w:rPr>
        <w:tab/>
        <w:t>do 3 měsíců od podpisu smlouvy</w:t>
      </w:r>
    </w:p>
    <w:p w14:paraId="1FDB171D" w14:textId="77777777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14:paraId="331284D6" w14:textId="0709E348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9445AB">
        <w:rPr>
          <w:rFonts w:ascii="Arial" w:hAnsi="Arial" w:cs="Arial"/>
          <w:sz w:val="22"/>
          <w:szCs w:val="22"/>
        </w:rPr>
        <w:t xml:space="preserve">Vypracování DÚR dle odst. </w:t>
      </w:r>
      <w:proofErr w:type="gramStart"/>
      <w:r w:rsidRPr="009445AB">
        <w:rPr>
          <w:rFonts w:ascii="Arial" w:hAnsi="Arial" w:cs="Arial"/>
          <w:sz w:val="22"/>
          <w:szCs w:val="22"/>
        </w:rPr>
        <w:t>2.</w:t>
      </w:r>
      <w:r w:rsidR="007F1046" w:rsidRPr="009445AB">
        <w:rPr>
          <w:rFonts w:ascii="Arial" w:hAnsi="Arial" w:cs="Arial"/>
          <w:sz w:val="22"/>
          <w:szCs w:val="22"/>
        </w:rPr>
        <w:t>2</w:t>
      </w:r>
      <w:r w:rsidRPr="009445AB">
        <w:rPr>
          <w:rFonts w:ascii="Arial" w:hAnsi="Arial" w:cs="Arial"/>
          <w:sz w:val="22"/>
          <w:szCs w:val="22"/>
        </w:rPr>
        <w:t>. písm.</w:t>
      </w:r>
      <w:proofErr w:type="gramEnd"/>
      <w:r w:rsidRPr="009445AB">
        <w:rPr>
          <w:rFonts w:ascii="Arial" w:hAnsi="Arial" w:cs="Arial"/>
          <w:sz w:val="22"/>
          <w:szCs w:val="22"/>
        </w:rPr>
        <w:t xml:space="preserve"> a)</w:t>
      </w:r>
      <w:r w:rsidRPr="009445AB">
        <w:rPr>
          <w:rFonts w:ascii="Arial" w:hAnsi="Arial" w:cs="Arial"/>
          <w:sz w:val="22"/>
          <w:szCs w:val="22"/>
        </w:rPr>
        <w:tab/>
        <w:t>do 8 měsíců od podpisu     smlouvy</w:t>
      </w:r>
    </w:p>
    <w:p w14:paraId="687EC7CA" w14:textId="77777777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14:paraId="62C381DC" w14:textId="25A7120E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9445AB">
        <w:rPr>
          <w:rFonts w:ascii="Arial" w:hAnsi="Arial" w:cs="Arial"/>
          <w:sz w:val="22"/>
          <w:szCs w:val="22"/>
        </w:rPr>
        <w:t xml:space="preserve">Vypracování Oznámení záměru dle odst. </w:t>
      </w:r>
      <w:proofErr w:type="gramStart"/>
      <w:r w:rsidRPr="009445AB">
        <w:rPr>
          <w:rFonts w:ascii="Arial" w:hAnsi="Arial" w:cs="Arial"/>
          <w:sz w:val="22"/>
          <w:szCs w:val="22"/>
        </w:rPr>
        <w:t>2.</w:t>
      </w:r>
      <w:r w:rsidR="007F1046" w:rsidRPr="009445AB">
        <w:rPr>
          <w:rFonts w:ascii="Arial" w:hAnsi="Arial" w:cs="Arial"/>
          <w:sz w:val="22"/>
          <w:szCs w:val="22"/>
        </w:rPr>
        <w:t>2</w:t>
      </w:r>
      <w:r w:rsidRPr="009445AB">
        <w:rPr>
          <w:rFonts w:ascii="Arial" w:hAnsi="Arial" w:cs="Arial"/>
          <w:sz w:val="22"/>
          <w:szCs w:val="22"/>
        </w:rPr>
        <w:t>. písm.</w:t>
      </w:r>
      <w:proofErr w:type="gramEnd"/>
      <w:r w:rsidRPr="009445AB">
        <w:rPr>
          <w:rFonts w:ascii="Arial" w:hAnsi="Arial" w:cs="Arial"/>
          <w:sz w:val="22"/>
          <w:szCs w:val="22"/>
        </w:rPr>
        <w:t xml:space="preserve"> b)</w:t>
      </w:r>
      <w:r w:rsidRPr="009445AB">
        <w:rPr>
          <w:rFonts w:ascii="Arial" w:hAnsi="Arial" w:cs="Arial"/>
          <w:sz w:val="22"/>
          <w:szCs w:val="22"/>
        </w:rPr>
        <w:tab/>
        <w:t>do 6 měsíců od podpisu smlouvy</w:t>
      </w:r>
    </w:p>
    <w:p w14:paraId="0159C59E" w14:textId="77777777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14:paraId="6BFEF911" w14:textId="5A833088" w:rsidR="001541CD" w:rsidRPr="009445AB" w:rsidRDefault="001541CD" w:rsidP="001541CD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9445AB">
        <w:rPr>
          <w:rFonts w:ascii="Arial" w:hAnsi="Arial" w:cs="Arial"/>
          <w:sz w:val="22"/>
          <w:szCs w:val="22"/>
        </w:rPr>
        <w:t xml:space="preserve">Zajištění pravomocného územního rozhodnutí dle odst. </w:t>
      </w:r>
      <w:proofErr w:type="gramStart"/>
      <w:r w:rsidRPr="009445AB">
        <w:rPr>
          <w:rFonts w:ascii="Arial" w:hAnsi="Arial" w:cs="Arial"/>
          <w:sz w:val="22"/>
          <w:szCs w:val="22"/>
        </w:rPr>
        <w:t>2.</w:t>
      </w:r>
      <w:r w:rsidR="007F1046" w:rsidRPr="009445AB">
        <w:rPr>
          <w:rFonts w:ascii="Arial" w:hAnsi="Arial" w:cs="Arial"/>
          <w:sz w:val="22"/>
          <w:szCs w:val="22"/>
        </w:rPr>
        <w:t>2</w:t>
      </w:r>
      <w:r w:rsidRPr="009445AB">
        <w:rPr>
          <w:rFonts w:ascii="Arial" w:hAnsi="Arial" w:cs="Arial"/>
          <w:sz w:val="22"/>
          <w:szCs w:val="22"/>
        </w:rPr>
        <w:t>. písm.</w:t>
      </w:r>
      <w:proofErr w:type="gramEnd"/>
      <w:r w:rsidRPr="009445AB">
        <w:rPr>
          <w:rFonts w:ascii="Arial" w:hAnsi="Arial" w:cs="Arial"/>
          <w:sz w:val="22"/>
          <w:szCs w:val="22"/>
        </w:rPr>
        <w:t xml:space="preserve"> c)</w:t>
      </w:r>
      <w:r w:rsidRPr="009445AB">
        <w:rPr>
          <w:rFonts w:ascii="Arial" w:hAnsi="Arial" w:cs="Arial"/>
          <w:sz w:val="22"/>
          <w:szCs w:val="22"/>
        </w:rPr>
        <w:tab/>
        <w:t>do 13 měsíců od podpisu smlouvy</w:t>
      </w:r>
    </w:p>
    <w:p w14:paraId="2FA5E3A2" w14:textId="77777777" w:rsidR="001541CD" w:rsidRPr="009445AB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</w:p>
    <w:p w14:paraId="0A1A96CC" w14:textId="7E5E7834" w:rsidR="001541CD" w:rsidRPr="00D225BD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9445AB">
        <w:rPr>
          <w:rFonts w:ascii="Arial" w:hAnsi="Arial" w:cs="Arial"/>
          <w:sz w:val="22"/>
          <w:szCs w:val="22"/>
          <w:lang w:val="pl-PL"/>
        </w:rPr>
        <w:t>Vypracování DSP dle odst. 2.</w:t>
      </w:r>
      <w:r w:rsidR="007F1046" w:rsidRPr="009445AB">
        <w:rPr>
          <w:rFonts w:ascii="Arial" w:hAnsi="Arial" w:cs="Arial"/>
          <w:sz w:val="22"/>
          <w:szCs w:val="22"/>
          <w:lang w:val="pl-PL"/>
        </w:rPr>
        <w:t>2</w:t>
      </w:r>
      <w:r w:rsidRPr="009445AB">
        <w:rPr>
          <w:rFonts w:ascii="Arial" w:hAnsi="Arial" w:cs="Arial"/>
          <w:sz w:val="22"/>
          <w:szCs w:val="22"/>
          <w:lang w:val="pl-PL"/>
        </w:rPr>
        <w:t>. písm. d)</w:t>
      </w:r>
      <w:r w:rsidRPr="009445AB">
        <w:rPr>
          <w:rFonts w:ascii="Arial" w:hAnsi="Arial" w:cs="Arial"/>
          <w:sz w:val="22"/>
          <w:szCs w:val="22"/>
          <w:lang w:val="pl-PL"/>
        </w:rPr>
        <w:tab/>
        <w:t>do 4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měsíců od vydání pravomocného </w:t>
      </w:r>
      <w:r w:rsidR="002764F9">
        <w:rPr>
          <w:rFonts w:ascii="Arial" w:hAnsi="Arial" w:cs="Arial"/>
          <w:sz w:val="22"/>
          <w:szCs w:val="22"/>
          <w:lang w:val="pl-PL"/>
        </w:rPr>
        <w:t>územnního rozhodnutí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   </w:t>
      </w:r>
    </w:p>
    <w:p w14:paraId="3917B486" w14:textId="2AFEE75C" w:rsidR="001541CD" w:rsidRPr="00D225BD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D755D28" w14:textId="2FB85E48" w:rsidR="001541CD" w:rsidRPr="00D225BD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Zajištění pravomoc. stavebního povolení dle odst. 2.</w:t>
      </w:r>
      <w:r w:rsidR="007F1046">
        <w:rPr>
          <w:rFonts w:ascii="Arial" w:hAnsi="Arial" w:cs="Arial"/>
          <w:sz w:val="22"/>
          <w:szCs w:val="22"/>
          <w:lang w:val="pl-PL"/>
        </w:rPr>
        <w:t>2</w:t>
      </w:r>
      <w:r w:rsidRPr="00D225BD">
        <w:rPr>
          <w:rFonts w:ascii="Arial" w:hAnsi="Arial" w:cs="Arial"/>
          <w:sz w:val="22"/>
          <w:szCs w:val="22"/>
          <w:lang w:val="pl-PL"/>
        </w:rPr>
        <w:t>. písm. e)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5 měsíců od dokončení DSP </w:t>
      </w:r>
    </w:p>
    <w:p w14:paraId="7A83B79F" w14:textId="77777777" w:rsidR="001541CD" w:rsidRPr="00D225BD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14:paraId="2A2844C7" w14:textId="29E7986B" w:rsidR="001541CD" w:rsidRPr="00D225BD" w:rsidRDefault="001541CD" w:rsidP="001541CD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lastRenderedPageBreak/>
        <w:t>Vypracování PDPS dle odst. 2.</w:t>
      </w:r>
      <w:r w:rsidR="002764F9">
        <w:rPr>
          <w:rFonts w:ascii="Arial" w:hAnsi="Arial" w:cs="Arial"/>
          <w:sz w:val="22"/>
          <w:szCs w:val="22"/>
          <w:lang w:val="pl-PL"/>
        </w:rPr>
        <w:t>2</w:t>
      </w:r>
      <w:r w:rsidRPr="00D225BD">
        <w:rPr>
          <w:rFonts w:ascii="Arial" w:hAnsi="Arial" w:cs="Arial"/>
          <w:sz w:val="22"/>
          <w:szCs w:val="22"/>
          <w:lang w:val="pl-PL"/>
        </w:rPr>
        <w:t>. písm. f)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do </w:t>
      </w:r>
      <w:r w:rsidRPr="009445AB">
        <w:rPr>
          <w:rFonts w:ascii="Arial" w:hAnsi="Arial" w:cs="Arial"/>
          <w:spacing w:val="-4"/>
          <w:sz w:val="22"/>
          <w:szCs w:val="22"/>
          <w:lang w:val="pl-PL"/>
        </w:rPr>
        <w:t>2</w:t>
      </w:r>
      <w:r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>měsíc</w:t>
      </w:r>
      <w:r w:rsidR="002764F9">
        <w:rPr>
          <w:rFonts w:ascii="Arial" w:hAnsi="Arial" w:cs="Arial"/>
          <w:spacing w:val="-4"/>
          <w:sz w:val="22"/>
          <w:szCs w:val="22"/>
          <w:lang w:val="pl-PL"/>
        </w:rPr>
        <w:t>ů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od </w:t>
      </w:r>
      <w:r>
        <w:rPr>
          <w:rFonts w:ascii="Arial" w:hAnsi="Arial" w:cs="Arial"/>
          <w:spacing w:val="-4"/>
          <w:sz w:val="22"/>
          <w:szCs w:val="22"/>
          <w:lang w:val="pl-PL"/>
        </w:rPr>
        <w:t>vydání pravomocného stavebního povolení</w:t>
      </w:r>
    </w:p>
    <w:p w14:paraId="65E33D10" w14:textId="77777777" w:rsidR="001541CD" w:rsidRPr="00D225BD" w:rsidRDefault="001541CD" w:rsidP="001541CD">
      <w:pPr>
        <w:tabs>
          <w:tab w:val="num" w:pos="-1560"/>
        </w:tabs>
        <w:ind w:left="7088" w:hanging="7088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14:paraId="59AA868C" w14:textId="4BBD7F5B" w:rsidR="001541CD" w:rsidRDefault="001541CD" w:rsidP="001541CD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</w:rPr>
        <w:t xml:space="preserve">Předpoklad zahájení výkonu autorského dozoru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</w:t>
      </w:r>
      <w:r w:rsidR="002764F9">
        <w:rPr>
          <w:rFonts w:ascii="Arial" w:hAnsi="Arial" w:cs="Arial"/>
          <w:sz w:val="22"/>
          <w:szCs w:val="22"/>
        </w:rPr>
        <w:t>2</w:t>
      </w:r>
      <w:r w:rsidRPr="00D225BD">
        <w:rPr>
          <w:rFonts w:ascii="Arial" w:hAnsi="Arial" w:cs="Arial"/>
          <w:sz w:val="22"/>
          <w:szCs w:val="22"/>
        </w:rPr>
        <w:t>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g)</w:t>
      </w:r>
      <w:r w:rsidRPr="00D225BD">
        <w:rPr>
          <w:rFonts w:ascii="Arial" w:hAnsi="Arial" w:cs="Arial"/>
          <w:sz w:val="22"/>
          <w:szCs w:val="22"/>
        </w:rPr>
        <w:tab/>
        <w:t xml:space="preserve">do 60 měsíců od vydání 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>pravomocného stavebního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14:paraId="43C4716A" w14:textId="77777777" w:rsidR="001541CD" w:rsidRDefault="001541CD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7D39EF9B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9648E1">
        <w:rPr>
          <w:rFonts w:ascii="Arial" w:hAnsi="Arial" w:cs="Arial"/>
          <w:spacing w:val="6"/>
          <w:sz w:val="22"/>
          <w:szCs w:val="22"/>
        </w:rPr>
        <w:t xml:space="preserve"> 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9648E1">
        <w:rPr>
          <w:rFonts w:ascii="Arial" w:hAnsi="Arial" w:cs="Arial"/>
          <w:spacing w:val="6"/>
          <w:sz w:val="22"/>
          <w:szCs w:val="22"/>
        </w:rPr>
        <w:t>f)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2A77DB4D" w14:textId="77777777" w:rsidR="00C4146A" w:rsidRDefault="00C4146A" w:rsidP="009445AB">
      <w:pPr>
        <w:pStyle w:val="Zkladntextodsazen"/>
        <w:spacing w:before="360" w:after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10CB60E5" w:rsidR="007F5A3F" w:rsidRPr="00521B67" w:rsidRDefault="00521B67" w:rsidP="00521B67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autorského dozoru v rozsahu </w:t>
      </w:r>
      <w:r w:rsidRPr="009445AB">
        <w:rPr>
          <w:rFonts w:ascii="Arial" w:hAnsi="Arial" w:cs="Arial"/>
          <w:sz w:val="22"/>
          <w:szCs w:val="22"/>
        </w:rPr>
        <w:t xml:space="preserve">200 hodin představuje předpokládanou účast na 30 kontrolních dnech s délkou trvání kontrolního dne 4 hodiny. Dále je předpokládáno  80 hodin technické pomoci/kancelářské práce. </w:t>
      </w:r>
      <w:r w:rsidR="007F5A3F" w:rsidRPr="00521B67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 w:rsidRPr="00521B67">
        <w:rPr>
          <w:rFonts w:ascii="Arial" w:hAnsi="Arial" w:cs="Arial"/>
          <w:sz w:val="22"/>
          <w:szCs w:val="22"/>
        </w:rPr>
        <w:t>AD</w:t>
      </w:r>
      <w:r w:rsidR="007F5A3F" w:rsidRPr="00521B67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Zhotovitele atd.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01B6604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lastRenderedPageBreak/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E08186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279DA37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5955A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C3C8F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B0218E1" w14:textId="0B39675E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43F2E7B" w14:textId="025C07D7" w:rsidR="00521B67" w:rsidRDefault="00521B67" w:rsidP="002E57D2">
      <w:pPr>
        <w:rPr>
          <w:rFonts w:ascii="Arial" w:hAnsi="Arial" w:cs="Arial"/>
          <w:sz w:val="22"/>
          <w:szCs w:val="22"/>
        </w:rPr>
      </w:pPr>
    </w:p>
    <w:p w14:paraId="1FA5637A" w14:textId="77777777" w:rsidR="00521B67" w:rsidRDefault="00521B67" w:rsidP="002E57D2">
      <w:pPr>
        <w:rPr>
          <w:rFonts w:ascii="Arial" w:hAnsi="Arial" w:cs="Arial"/>
          <w:sz w:val="22"/>
          <w:szCs w:val="22"/>
        </w:rPr>
      </w:pPr>
    </w:p>
    <w:p w14:paraId="048FDA03" w14:textId="05C1FDB1" w:rsidR="00521B67" w:rsidRPr="009E292B" w:rsidRDefault="00521B67" w:rsidP="00521B6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Vypracování Oznámení dle odst.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2.</w:t>
      </w:r>
      <w:r w:rsidR="002764F9">
        <w:rPr>
          <w:rFonts w:ascii="Arial" w:hAnsi="Arial" w:cs="Arial"/>
          <w:b/>
          <w:sz w:val="22"/>
          <w:szCs w:val="22"/>
          <w:u w:val="single"/>
        </w:rPr>
        <w:t>2</w:t>
      </w:r>
      <w:r>
        <w:rPr>
          <w:rFonts w:ascii="Arial" w:hAnsi="Arial" w:cs="Arial"/>
          <w:b/>
          <w:sz w:val="22"/>
          <w:szCs w:val="22"/>
          <w:u w:val="single"/>
        </w:rPr>
        <w:t>. bodu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b)</w:t>
      </w:r>
    </w:p>
    <w:p w14:paraId="1DAB49F5" w14:textId="77777777" w:rsidR="00521B67" w:rsidRPr="00BC4ABC" w:rsidRDefault="00521B67" w:rsidP="00521B67">
      <w:pPr>
        <w:rPr>
          <w:rFonts w:ascii="Arial" w:hAnsi="Arial" w:cs="Arial"/>
          <w:sz w:val="22"/>
          <w:szCs w:val="22"/>
        </w:rPr>
      </w:pPr>
    </w:p>
    <w:p w14:paraId="4F40FD91" w14:textId="77777777" w:rsidR="00521B67" w:rsidRPr="00BC4ABC" w:rsidRDefault="00521B67" w:rsidP="00521B67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B4C7B0C" w14:textId="77777777" w:rsidR="00521B67" w:rsidRPr="00BC4ABC" w:rsidRDefault="00521B67" w:rsidP="00521B67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1926E5" w14:textId="77777777" w:rsidR="00521B67" w:rsidRPr="00BC4ABC" w:rsidRDefault="00521B67" w:rsidP="00521B67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6F97" w14:textId="77777777" w:rsidR="00521B67" w:rsidRPr="00BC4ABC" w:rsidRDefault="00521B67" w:rsidP="002E57D2">
      <w:pPr>
        <w:rPr>
          <w:rFonts w:ascii="Arial" w:hAnsi="Arial" w:cs="Arial"/>
          <w:sz w:val="22"/>
          <w:szCs w:val="22"/>
        </w:rPr>
      </w:pPr>
    </w:p>
    <w:p w14:paraId="2A814575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3C526B8D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40F4D617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C6105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86DA73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1B563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6AA2F35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19E1BBC7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3ED8BA0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4B1233CB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459D53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54F94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7E1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6AD71DA" w14:textId="12E13DE3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60FD5D8" w14:textId="77777777" w:rsidR="00B7009C" w:rsidRPr="00BC4ABC" w:rsidRDefault="00B7009C" w:rsidP="007F5A3F">
      <w:pPr>
        <w:rPr>
          <w:rFonts w:ascii="Arial" w:hAnsi="Arial" w:cs="Arial"/>
          <w:sz w:val="22"/>
          <w:szCs w:val="22"/>
          <w:u w:val="single"/>
        </w:rPr>
      </w:pPr>
    </w:p>
    <w:p w14:paraId="46F56E9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50A0921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B1234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7AEDD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0439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1F2497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B492B5B" w14:textId="77777777" w:rsidR="00ED677E" w:rsidRDefault="00ED677E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21112DE2" w14:textId="777777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19F931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E798839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76BA7C2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80F880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6E26A7B" w14:textId="5CF67A66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6C2854D" w14:textId="77777777" w:rsidR="00B7009C" w:rsidRDefault="00B7009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71BC6C6" w14:textId="027006C5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 kancelářské práce)</w:t>
      </w:r>
    </w:p>
    <w:p w14:paraId="7FA58ED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lastRenderedPageBreak/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21DB829D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2.2. a), b), c), d), e)</w:t>
      </w:r>
      <w:r w:rsidR="00B7009C">
        <w:rPr>
          <w:rFonts w:ascii="Arial" w:hAnsi="Arial" w:cs="Arial"/>
          <w:sz w:val="22"/>
          <w:szCs w:val="22"/>
        </w:rPr>
        <w:t xml:space="preserve">, f)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7C62D03" w14:textId="77777777" w:rsidR="001F2993" w:rsidRDefault="001F2993" w:rsidP="001F2993">
      <w:pPr>
        <w:pStyle w:val="Odstavecseseznamem"/>
      </w:pPr>
    </w:p>
    <w:p w14:paraId="78B98ED9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</w:t>
      </w:r>
      <w:r w:rsidRPr="00DE12ED">
        <w:rPr>
          <w:color w:val="auto"/>
        </w:rPr>
        <w:lastRenderedPageBreak/>
        <w:t xml:space="preserve">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56A8E925" w14:textId="3290CAB8" w:rsidR="00185BA6" w:rsidRPr="00B7009C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i/>
          <w:color w:val="FF0000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95E7C">
        <w:rPr>
          <w:b/>
          <w:color w:val="auto"/>
        </w:rPr>
        <w:t>„</w:t>
      </w:r>
      <w:r w:rsidR="00B7009C" w:rsidRPr="00B7009C">
        <w:rPr>
          <w:b/>
          <w:color w:val="auto"/>
        </w:rPr>
        <w:t>II//399 Náměšť nad Oslavou – D1, Jinošov obchvat, PD</w:t>
      </w:r>
      <w:r w:rsidR="000B3854" w:rsidRPr="00EE4D14">
        <w:rPr>
          <w:b/>
          <w:color w:val="auto"/>
        </w:rPr>
        <w:t>“</w:t>
      </w:r>
      <w:r w:rsidR="00EA1B7D">
        <w:rPr>
          <w:b/>
          <w:color w:val="auto"/>
        </w:rPr>
        <w:t xml:space="preserve"> </w:t>
      </w:r>
      <w:r w:rsidR="00EA1B7D" w:rsidRPr="007A7782">
        <w:rPr>
          <w:b/>
          <w:color w:val="auto"/>
        </w:rPr>
        <w:t xml:space="preserve">a </w:t>
      </w:r>
      <w:r w:rsidR="00EA1B7D" w:rsidRPr="009445AB">
        <w:rPr>
          <w:b/>
          <w:color w:val="auto"/>
        </w:rPr>
        <w:t>registrační číslo projektu</w:t>
      </w:r>
      <w:r w:rsidR="007A7782" w:rsidRPr="009445AB">
        <w:rPr>
          <w:color w:val="auto"/>
        </w:rPr>
        <w:t xml:space="preserve">, </w:t>
      </w:r>
      <w:r w:rsidR="00CB764A" w:rsidRPr="009445AB">
        <w:rPr>
          <w:color w:val="auto"/>
        </w:rPr>
        <w:t>bude-li</w:t>
      </w:r>
      <w:r w:rsidR="009445AB">
        <w:rPr>
          <w:color w:val="auto"/>
        </w:rPr>
        <w:t xml:space="preserve"> realizace stavby</w:t>
      </w:r>
      <w:r w:rsidR="00CB764A" w:rsidRPr="009445AB">
        <w:rPr>
          <w:color w:val="auto"/>
        </w:rPr>
        <w:t xml:space="preserve"> spolufinancována z prostředků EU</w:t>
      </w:r>
      <w:r w:rsidR="009445AB">
        <w:rPr>
          <w:color w:val="auto"/>
        </w:rPr>
        <w:t>.</w:t>
      </w:r>
    </w:p>
    <w:p w14:paraId="29050171" w14:textId="77777777" w:rsidR="00C4146A" w:rsidRPr="00B7009C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i/>
          <w:color w:val="FF0000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3683CCB5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CB764A">
        <w:rPr>
          <w:color w:val="auto"/>
        </w:rPr>
        <w:t>6</w:t>
      </w:r>
      <w:r w:rsidR="00C86A52">
        <w:rPr>
          <w:color w:val="auto"/>
        </w:rPr>
        <w:t xml:space="preserve"> </w:t>
      </w:r>
      <w:r w:rsidR="00CB764A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7FA2FD8D" w14:textId="2FDFBD99" w:rsidR="00896F0C" w:rsidRDefault="00896F0C" w:rsidP="0058101D">
      <w:pPr>
        <w:spacing w:before="360" w:after="24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38E35057" w:rsid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58101D">
      <w:pPr>
        <w:tabs>
          <w:tab w:val="center" w:pos="4702"/>
          <w:tab w:val="left" w:pos="6090"/>
        </w:tabs>
        <w:spacing w:before="360" w:after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50F9189" w14:textId="4DAF3A21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d), e)</w:t>
      </w:r>
      <w:r w:rsidR="00B7009C">
        <w:rPr>
          <w:rFonts w:eastAsia="MS Mincho"/>
          <w:color w:val="auto"/>
        </w:rPr>
        <w:t>, f)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D64C215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1B8CD173" w14:textId="756404F1" w:rsidR="00C4146A" w:rsidRDefault="00C4146A" w:rsidP="0058101D">
      <w:pPr>
        <w:spacing w:before="360" w:after="24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lastRenderedPageBreak/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BD7DAF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7B9988D9" w14:textId="77777777" w:rsidR="00C4146A" w:rsidRDefault="00C4146A" w:rsidP="0058101D">
      <w:pPr>
        <w:tabs>
          <w:tab w:val="left" w:pos="6946"/>
        </w:tabs>
        <w:spacing w:before="360" w:after="24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159A6E7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lastRenderedPageBreak/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0DFD138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56A2064" w14:textId="7669DDBE" w:rsidR="00C21EE0" w:rsidRPr="0058101D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i/>
          <w:color w:val="FF0000"/>
          <w:sz w:val="22"/>
        </w:rPr>
      </w:pPr>
      <w:r w:rsidRPr="0058101D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 w:rsidRPr="0058101D">
        <w:rPr>
          <w:rFonts w:ascii="Arial" w:eastAsia="MS Mincho" w:hAnsi="Arial" w:cs="Arial"/>
          <w:sz w:val="22"/>
        </w:rPr>
        <w:t xml:space="preserve">, </w:t>
      </w:r>
      <w:r w:rsidR="00C845BD" w:rsidRPr="0058101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 w:rsidRPr="0058101D">
        <w:rPr>
          <w:rFonts w:ascii="Arial" w:eastAsia="MS Mincho" w:hAnsi="Arial" w:cs="Arial"/>
          <w:sz w:val="22"/>
        </w:rPr>
        <w:t>.</w:t>
      </w:r>
      <w:r w:rsidR="00B7009C" w:rsidRPr="0058101D">
        <w:rPr>
          <w:rFonts w:ascii="Arial" w:eastAsia="MS Mincho" w:hAnsi="Arial" w:cs="Arial"/>
          <w:sz w:val="22"/>
        </w:rPr>
        <w:t xml:space="preserve"> </w:t>
      </w:r>
    </w:p>
    <w:p w14:paraId="73879785" w14:textId="77777777" w:rsidR="00C4146A" w:rsidRDefault="00C4146A" w:rsidP="00BA3410">
      <w:pPr>
        <w:spacing w:before="360" w:after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2129F3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359815BB" w14:textId="77777777" w:rsidR="00EE4D14" w:rsidRDefault="00C4146A" w:rsidP="00BA3410">
      <w:pPr>
        <w:tabs>
          <w:tab w:val="left" w:pos="6946"/>
        </w:tabs>
        <w:spacing w:before="360" w:after="24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93098A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</w:t>
      </w:r>
      <w:r w:rsidRPr="000C03D4">
        <w:rPr>
          <w:rFonts w:eastAsia="MS Mincho"/>
          <w:color w:val="auto"/>
        </w:rPr>
        <w:lastRenderedPageBreak/>
        <w:t>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BA3410">
      <w:pPr>
        <w:tabs>
          <w:tab w:val="left" w:pos="6946"/>
        </w:tabs>
        <w:spacing w:before="360" w:after="24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3C55F0B9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4800B8DB" w14:textId="77777777" w:rsidR="008829D9" w:rsidRDefault="008829D9" w:rsidP="008829D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B80BA93" w14:textId="65B4AE26" w:rsidR="008829D9" w:rsidRPr="008829D9" w:rsidRDefault="008829D9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5F89D3A0" w14:textId="77777777" w:rsidR="008829D9" w:rsidRPr="008829D9" w:rsidRDefault="008829D9" w:rsidP="008829D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84008AF" w14:textId="6666AFC4" w:rsidR="008829D9" w:rsidRPr="008829D9" w:rsidRDefault="008829D9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0C71D077" w14:textId="77777777" w:rsidR="008829D9" w:rsidRPr="008829D9" w:rsidRDefault="008829D9" w:rsidP="008829D9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9DB97A9" w14:textId="7EB9DE22" w:rsidR="008829D9" w:rsidRDefault="008829D9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  <w:bookmarkStart w:id="0" w:name="_GoBack"/>
      <w:bookmarkEnd w:id="0"/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77777777" w:rsidR="00660581" w:rsidRDefault="00660581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39822EE3" w14:textId="7164FA16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524D93C7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315BBB83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7355959" w14:textId="5CEC089B" w:rsidR="00546680" w:rsidRDefault="00546680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612FF11" w14:textId="77777777" w:rsidR="00546680" w:rsidRDefault="00546680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AC5766B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B73393" w14:textId="5B1D2E02" w:rsidR="002B2A09" w:rsidRPr="009445AB" w:rsidRDefault="00546680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9445AB">
        <w:rPr>
          <w:rFonts w:eastAsia="MS Mincho"/>
        </w:rPr>
        <w:t>Ing. Miroslav Houška</w:t>
      </w:r>
    </w:p>
    <w:p w14:paraId="3E43AB29" w14:textId="278271E1" w:rsidR="002B2A09" w:rsidRDefault="00546680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9445AB">
        <w:rPr>
          <w:rFonts w:eastAsia="MS Mincho"/>
        </w:rPr>
        <w:t xml:space="preserve">náměstek </w:t>
      </w:r>
      <w:r w:rsidR="002B2A09" w:rsidRPr="009445AB">
        <w:rPr>
          <w:rFonts w:eastAsia="MS Mincho"/>
        </w:rPr>
        <w:t>hejtman</w:t>
      </w:r>
      <w:r w:rsidRPr="009445AB"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A515B96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77777777" w:rsidR="002B2A09" w:rsidRDefault="002B2A09" w:rsidP="00A32C83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24A7D344" w14:textId="2A2211FB" w:rsidR="00C4146A" w:rsidRPr="001C664A" w:rsidRDefault="00C4146A" w:rsidP="00B47759">
      <w:pPr>
        <w:jc w:val="both"/>
      </w:pPr>
    </w:p>
    <w:sectPr w:rsidR="00C4146A" w:rsidRPr="001C664A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AB43D" w14:textId="77777777" w:rsidR="009868E7" w:rsidRDefault="009868E7">
      <w:r>
        <w:separator/>
      </w:r>
    </w:p>
  </w:endnote>
  <w:endnote w:type="continuationSeparator" w:id="0">
    <w:p w14:paraId="75C8CE2F" w14:textId="77777777" w:rsidR="009868E7" w:rsidRDefault="009868E7">
      <w:r>
        <w:continuationSeparator/>
      </w:r>
    </w:p>
  </w:endnote>
  <w:endnote w:type="continuationNotice" w:id="1">
    <w:p w14:paraId="54DB93E8" w14:textId="77777777" w:rsidR="009868E7" w:rsidRDefault="00986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75D4D737" w:rsidR="009868E7" w:rsidRDefault="009868E7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56255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56255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15233743" w:rsidR="009868E7" w:rsidRDefault="009868E7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5625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56255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3E17D" w14:textId="77777777" w:rsidR="009868E7" w:rsidRDefault="009868E7">
      <w:r>
        <w:separator/>
      </w:r>
    </w:p>
  </w:footnote>
  <w:footnote w:type="continuationSeparator" w:id="0">
    <w:p w14:paraId="498DC939" w14:textId="77777777" w:rsidR="009868E7" w:rsidRDefault="009868E7">
      <w:r>
        <w:continuationSeparator/>
      </w:r>
    </w:p>
  </w:footnote>
  <w:footnote w:type="continuationNotice" w:id="1">
    <w:p w14:paraId="03125610" w14:textId="77777777" w:rsidR="009868E7" w:rsidRDefault="009868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9868E7" w:rsidRPr="00C82BDA" w:rsidRDefault="009868E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9868E7" w:rsidRPr="00C82BDA" w:rsidRDefault="009868E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9868E7" w:rsidRDefault="009868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F09673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EFB82A9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D7C99"/>
    <w:rsid w:val="000E036C"/>
    <w:rsid w:val="000E1BAA"/>
    <w:rsid w:val="000E1FAB"/>
    <w:rsid w:val="000E3394"/>
    <w:rsid w:val="000E45FD"/>
    <w:rsid w:val="000E71BC"/>
    <w:rsid w:val="000F31E4"/>
    <w:rsid w:val="000F347A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541CD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4"/>
    <w:rsid w:val="001F6EBC"/>
    <w:rsid w:val="00200F49"/>
    <w:rsid w:val="002010A3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4F9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2D99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43A2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B67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680"/>
    <w:rsid w:val="005467CC"/>
    <w:rsid w:val="005507ED"/>
    <w:rsid w:val="00553281"/>
    <w:rsid w:val="005535C4"/>
    <w:rsid w:val="00554ADA"/>
    <w:rsid w:val="00555992"/>
    <w:rsid w:val="0055669E"/>
    <w:rsid w:val="00556E1C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101D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26EF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AEB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046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29D9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45AB"/>
    <w:rsid w:val="00945CA8"/>
    <w:rsid w:val="00947CBC"/>
    <w:rsid w:val="00950109"/>
    <w:rsid w:val="00952F07"/>
    <w:rsid w:val="00953BA1"/>
    <w:rsid w:val="00957C97"/>
    <w:rsid w:val="00961043"/>
    <w:rsid w:val="00961ECC"/>
    <w:rsid w:val="009648E1"/>
    <w:rsid w:val="00967A63"/>
    <w:rsid w:val="00967AFD"/>
    <w:rsid w:val="00967D07"/>
    <w:rsid w:val="00971B04"/>
    <w:rsid w:val="00971D5E"/>
    <w:rsid w:val="00972610"/>
    <w:rsid w:val="00974234"/>
    <w:rsid w:val="00975028"/>
    <w:rsid w:val="00975B42"/>
    <w:rsid w:val="00980ADA"/>
    <w:rsid w:val="00980B3F"/>
    <w:rsid w:val="009828B9"/>
    <w:rsid w:val="00982953"/>
    <w:rsid w:val="009868E7"/>
    <w:rsid w:val="00987C6E"/>
    <w:rsid w:val="00987DD6"/>
    <w:rsid w:val="009903F6"/>
    <w:rsid w:val="00990763"/>
    <w:rsid w:val="00996688"/>
    <w:rsid w:val="009A05BF"/>
    <w:rsid w:val="009A236A"/>
    <w:rsid w:val="009A4725"/>
    <w:rsid w:val="009A4B32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D6F"/>
    <w:rsid w:val="00A22F91"/>
    <w:rsid w:val="00A233B8"/>
    <w:rsid w:val="00A269B5"/>
    <w:rsid w:val="00A30A18"/>
    <w:rsid w:val="00A3202F"/>
    <w:rsid w:val="00A32C83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0C89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009C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410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6255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64A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0D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9280-F0DF-4D71-9AA6-61A6045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17</Pages>
  <Words>6510</Words>
  <Characters>39785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Navrátilová Markéta Ing.</cp:lastModifiedBy>
  <cp:revision>15</cp:revision>
  <cp:lastPrinted>2021-05-10T11:59:00Z</cp:lastPrinted>
  <dcterms:created xsi:type="dcterms:W3CDTF">2021-03-16T10:49:00Z</dcterms:created>
  <dcterms:modified xsi:type="dcterms:W3CDTF">2021-05-10T12:00:00Z</dcterms:modified>
</cp:coreProperties>
</file>